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b/>
          <w:b/>
          <w:sz w:val="24"/>
          <w:szCs w:val="24"/>
        </w:rPr>
      </w:pPr>
      <w:r>
        <w:rPr>
          <w:rFonts w:ascii="Garamond" w:hAnsi="Garamond"/>
          <w:b/>
          <w:sz w:val="24"/>
          <w:szCs w:val="24"/>
        </w:rPr>
        <w:t>AVVISO PUBBLICO</w:t>
      </w:r>
    </w:p>
    <w:p>
      <w:pPr>
        <w:pStyle w:val="Normal"/>
        <w:spacing w:lineRule="auto" w:line="240" w:before="0" w:after="0"/>
        <w:jc w:val="center"/>
        <w:rPr/>
      </w:pPr>
      <w:r>
        <w:rPr>
          <w:rFonts w:ascii="Garamond" w:hAnsi="Garamond"/>
          <w:b/>
          <w:sz w:val="24"/>
          <w:szCs w:val="24"/>
        </w:rPr>
        <w:t>PER L’ASSEGNAZIONE DI CONTRIBUTI PER IL TRASPORTO E L’ASSISTENZA SPECIALISTICA A FAVORE DEGLI  STUDENTI CON DISABILITÀ</w:t>
      </w:r>
    </w:p>
    <w:p>
      <w:pPr>
        <w:pStyle w:val="Normal"/>
        <w:spacing w:lineRule="auto" w:line="240" w:before="0" w:after="0"/>
        <w:jc w:val="center"/>
        <w:rPr>
          <w:rFonts w:ascii="Garamond" w:hAnsi="Garamond"/>
          <w:b/>
          <w:b/>
          <w:sz w:val="24"/>
          <w:szCs w:val="24"/>
        </w:rPr>
      </w:pPr>
      <w:r>
        <w:rPr>
          <w:rFonts w:ascii="Garamond" w:hAnsi="Garamond"/>
          <w:b/>
          <w:sz w:val="24"/>
          <w:szCs w:val="24"/>
        </w:rPr>
        <w:t>CHE FREQUENTANO ISTITUTI SCOLASTICI SECONDARI DI SECONDO GRADO</w:t>
      </w:r>
    </w:p>
    <w:p>
      <w:pPr>
        <w:pStyle w:val="Normal"/>
        <w:spacing w:lineRule="auto" w:line="240" w:before="0" w:after="0"/>
        <w:jc w:val="center"/>
        <w:rPr/>
      </w:pPr>
      <w:r>
        <w:rPr>
          <w:rFonts w:ascii="Garamond" w:hAnsi="Garamond"/>
          <w:b/>
          <w:sz w:val="24"/>
          <w:szCs w:val="24"/>
        </w:rPr>
        <w:t xml:space="preserve"> </w:t>
      </w:r>
      <w:r>
        <w:rPr>
          <w:rFonts w:ascii="Garamond" w:hAnsi="Garamond"/>
          <w:b/>
          <w:sz w:val="24"/>
          <w:szCs w:val="24"/>
        </w:rPr>
        <w:t>ANNO SCOLASTICO 2025/2026</w:t>
      </w:r>
    </w:p>
    <w:p>
      <w:pPr>
        <w:pStyle w:val="Normal"/>
        <w:spacing w:lineRule="auto" w:line="240" w:before="0" w:after="0"/>
        <w:jc w:val="center"/>
        <w:rPr>
          <w:rFonts w:ascii="Garamond" w:hAnsi="Garamond"/>
          <w:b/>
          <w:b/>
          <w:sz w:val="24"/>
          <w:szCs w:val="24"/>
        </w:rPr>
      </w:pPr>
      <w:r>
        <w:rPr>
          <w:rFonts w:ascii="Garamond" w:hAnsi="Garamond"/>
          <w:b/>
          <w:sz w:val="24"/>
          <w:szCs w:val="24"/>
        </w:rPr>
      </w:r>
    </w:p>
    <w:p>
      <w:pPr>
        <w:pStyle w:val="Normal"/>
        <w:jc w:val="both"/>
        <w:rPr>
          <w:rFonts w:ascii="Garamond" w:hAnsi="Garamond"/>
          <w:b/>
          <w:b/>
          <w:smallCaps/>
          <w:sz w:val="24"/>
          <w:szCs w:val="24"/>
          <w:u w:val="single"/>
        </w:rPr>
      </w:pPr>
      <w:r>
        <w:rPr>
          <w:rFonts w:ascii="Garamond" w:hAnsi="Garamond"/>
          <w:b/>
          <w:smallCaps/>
          <w:sz w:val="24"/>
          <w:szCs w:val="24"/>
          <w:u w:val="single"/>
        </w:rPr>
        <w:t xml:space="preserve">FINALITÀ </w:t>
      </w:r>
    </w:p>
    <w:p>
      <w:pPr>
        <w:pStyle w:val="Normal"/>
        <w:jc w:val="both"/>
        <w:rPr/>
      </w:pPr>
      <w:r>
        <w:rPr>
          <w:rFonts w:ascii="Garamond" w:hAnsi="Garamond"/>
          <w:sz w:val="24"/>
          <w:szCs w:val="24"/>
        </w:rPr>
        <w:t>L’Avviso disciplina le condizioni, le modalità e i tempi di assegnazione di contributi per i servizi di trasporto scolastico e di assistenza specialistica agli studenti - con disabilità fisica, intellettiva o sensoriale - frequentanti l’istruzione secondaria di secondo grado e i percorsi di istruzione e formazione professionale (IeFP) in diritto-dovere, inclusi i percorsi formativi per studenti disabili (PPD) nell’anno scolastico e formativo 2025/2026.</w:t>
      </w:r>
    </w:p>
    <w:p>
      <w:pPr>
        <w:pStyle w:val="Normal"/>
        <w:jc w:val="both"/>
        <w:rPr>
          <w:rFonts w:ascii="Garamond" w:hAnsi="Garamond"/>
          <w:b/>
          <w:b/>
          <w:smallCaps/>
          <w:sz w:val="24"/>
          <w:szCs w:val="24"/>
          <w:u w:val="single"/>
        </w:rPr>
      </w:pPr>
      <w:r>
        <w:rPr>
          <w:rFonts w:ascii="Garamond" w:hAnsi="Garamond"/>
          <w:b/>
          <w:smallCaps/>
          <w:sz w:val="24"/>
          <w:szCs w:val="24"/>
          <w:u w:val="single"/>
        </w:rPr>
        <w:t>riferimenti normativi</w:t>
      </w:r>
    </w:p>
    <w:p>
      <w:pPr>
        <w:pStyle w:val="Normal"/>
        <w:spacing w:before="0" w:after="0"/>
        <w:jc w:val="both"/>
        <w:rPr>
          <w:rFonts w:ascii="Garamond" w:hAnsi="Garamond"/>
          <w:sz w:val="24"/>
          <w:szCs w:val="24"/>
        </w:rPr>
      </w:pPr>
      <w:r>
        <w:rPr>
          <w:rFonts w:ascii="Garamond" w:hAnsi="Garamond"/>
          <w:sz w:val="24"/>
          <w:szCs w:val="24"/>
        </w:rPr>
        <w:t>- la legge 5 febbraio 1992, n. 104 "Legge-quadro per l'assistenza, l'integrazione sociale e i diritti delle persone handicappate” e s.m.i. garantisce il pieno rispetto della dignità umana e i diritti di libertà e di autonomia della persona handicappata promuovendone la piena integrazione nella famiglia, nella scuola, nel lavoro e nella società all'uopo predisponendo interventi volti a superare stati di emarginazione e di esclusione sociale;</w:t>
      </w:r>
    </w:p>
    <w:p>
      <w:pPr>
        <w:pStyle w:val="Normal"/>
        <w:spacing w:before="0" w:after="0"/>
        <w:jc w:val="both"/>
        <w:rPr>
          <w:rFonts w:ascii="Garamond" w:hAnsi="Garamond"/>
          <w:sz w:val="24"/>
          <w:szCs w:val="24"/>
        </w:rPr>
      </w:pPr>
      <w:r>
        <w:rPr>
          <w:rFonts w:ascii="Garamond" w:hAnsi="Garamond"/>
          <w:sz w:val="24"/>
          <w:szCs w:val="24"/>
        </w:rPr>
        <w:t>-  la legge 8 novembre 2000, n. 328 “Legge quadro per la realizzazione del sistema integrato di interventi e servizi sociali”, la quale, al capo III, elenca le disposizioni relative alla realizzazione di particolari interventi sociali e più esattamente a favore di persone disabili, anziani non autosufficienti, famiglie, prevedendo progetti individuali per le persone disabili ed affidandone la predisposizione, su richiesta dell’interessato, ai Comuni d’intesa con le aziende unità sanitarie locali.</w:t>
      </w:r>
    </w:p>
    <w:p>
      <w:pPr>
        <w:pStyle w:val="Normal"/>
        <w:spacing w:before="0" w:after="0"/>
        <w:jc w:val="both"/>
        <w:rPr/>
      </w:pPr>
      <w:r>
        <w:rPr>
          <w:rFonts w:ascii="Garamond" w:hAnsi="Garamond"/>
          <w:sz w:val="24"/>
          <w:szCs w:val="24"/>
        </w:rPr>
        <w:t>- la Legge Regionale 1 febbraio 2005, n. 4 “Norme regionali per l’esercizio del diritto all’istruzione e alla formazione” si propone, tra l’altro, di realizzare interventi finalizzati a rimuovere gli ostacoli che, di fatto, impediscono a tutti l’esercizio del diritto all’istruzione e alla formazione, prevedendo all’art.4 un programma di interventi diretti a garantire il diritto all’integrazione nel sistema scolastico e formativo, all’educazione, all’istruzione e alla formazione professionale di soggetti con disabilità e di persone che a causa di deficit fisici, psichici o sensoriali trovano ostacoli al proprio percorso educativo e formativo, ivi compresa la fornitura, a seguito di accordi di programma con gli enti titolari della relativa competenza (art. 13 L. 104/92) di servizi di trasporto speciale, di materiale didattico e strumentale, nonché di personale aggiuntivo provvisto dei requisiti di legge e destinato a favorire e sviluppare l’autonomia e la capacità di comunicazione;</w:t>
      </w:r>
    </w:p>
    <w:p>
      <w:pPr>
        <w:pStyle w:val="Normal"/>
        <w:spacing w:before="0" w:after="0"/>
        <w:jc w:val="both"/>
        <w:rPr/>
      </w:pPr>
      <w:r>
        <w:rPr>
          <w:rFonts w:ascii="Garamond" w:hAnsi="Garamond"/>
          <w:sz w:val="24"/>
          <w:szCs w:val="24"/>
        </w:rPr>
        <w:t>- la Legge Regionale 27 ottobre 2007 n. 11 “Legge per la dignità e la cittadinanza sociale. Attuazione della legge 8 novembre 2000, n. 328” garantisce, sotto diversi profili, interventi per l’integrazione sociale dei disabili al fine di assicurare la realizzazione di un sistema integrato d’ interventi e servizi sociali e sociosanitari;</w:t>
      </w:r>
    </w:p>
    <w:p>
      <w:pPr>
        <w:pStyle w:val="Normal"/>
        <w:spacing w:before="0" w:after="0"/>
        <w:jc w:val="both"/>
        <w:rPr>
          <w:rFonts w:ascii="Garamond" w:hAnsi="Garamond"/>
          <w:sz w:val="24"/>
          <w:szCs w:val="24"/>
        </w:rPr>
      </w:pPr>
      <w:r>
        <w:rPr>
          <w:rFonts w:ascii="Garamond" w:hAnsi="Garamond"/>
          <w:sz w:val="24"/>
          <w:szCs w:val="24"/>
        </w:rPr>
        <w:t>- la legge n. 208/2015 (legge di stabilità 2016), all’art. 1 co. 947 ha disposto che, ai fini del completamento del processo di riordino delle funzioni delle province, di cui all’art.1, comma 89, della legge 56/2014, le funzioni relative all'assistenza per l'autonomia e la comunicazione personale degli alunni con disabilità fisiche o sensoriali di cui all’art. 13 della legge 104/92, e relative alle esigenze di cui all’art. 139, comma 1, lettera c) del D.Lgs 112/98, sono attribuite alle Regioni a decorrere dal 1º gennaio 2016, fatte salve le disposizioni legislative regionali che alla predetta data già prevedono l'attribuzione delle predette funzioni alle province, alle città metropolitane o ai comuni, anche in forma associata;</w:t>
      </w:r>
    </w:p>
    <w:p>
      <w:pPr>
        <w:pStyle w:val="Normal"/>
        <w:spacing w:before="0" w:after="0"/>
        <w:jc w:val="both"/>
        <w:rPr>
          <w:rFonts w:ascii="Garamond" w:hAnsi="Garamond"/>
          <w:sz w:val="24"/>
          <w:szCs w:val="24"/>
        </w:rPr>
      </w:pPr>
      <w:r>
        <w:rPr>
          <w:rFonts w:ascii="Garamond" w:hAnsi="Garamond"/>
          <w:sz w:val="24"/>
          <w:szCs w:val="24"/>
        </w:rPr>
        <w:t>-  la Giunta Regionale Campana con deliberazione n° 423 del 27 luglio 2016 ha dettato gli indirizzi operativi per assicurare le prestazioni di supporto all'integrazione scolastica degli alunni con disabilità delle scuole secondarie di secondo grado stabilendo che le risorse finanziarie assegnate alla Regione Campania per il prossimo anno scolastico in attuazione della legge finanziaria statale, siano ripartite tra le funzioni di cui all’art 13c3 della legge 104/92 ed all’art 139 comma 1 lettera c) del D.lgs 112/98 sulla base dei dati relativi alla spesa sostenuta dagli enti precedentemente titolari delle relative competenze, aggregati a livello regionale;</w:t>
      </w:r>
    </w:p>
    <w:p>
      <w:pPr>
        <w:pStyle w:val="Normal"/>
        <w:spacing w:before="0" w:after="0"/>
        <w:jc w:val="both"/>
        <w:rPr>
          <w:rFonts w:ascii="Garamond" w:hAnsi="Garamond"/>
          <w:sz w:val="24"/>
          <w:szCs w:val="24"/>
        </w:rPr>
      </w:pPr>
      <w:r>
        <w:rPr>
          <w:rFonts w:ascii="Garamond" w:hAnsi="Garamond"/>
          <w:sz w:val="24"/>
          <w:szCs w:val="24"/>
        </w:rPr>
      </w:r>
    </w:p>
    <w:p>
      <w:pPr>
        <w:pStyle w:val="Normal"/>
        <w:spacing w:before="0" w:after="0"/>
        <w:jc w:val="both"/>
        <w:rPr>
          <w:rFonts w:ascii="Garamond" w:hAnsi="Garamond"/>
          <w:b/>
          <w:b/>
          <w:smallCaps/>
          <w:sz w:val="24"/>
          <w:szCs w:val="24"/>
          <w:u w:val="single"/>
        </w:rPr>
      </w:pPr>
      <w:r>
        <w:rPr>
          <w:rFonts w:ascii="Garamond" w:hAnsi="Garamond"/>
          <w:b/>
          <w:smallCaps/>
          <w:sz w:val="24"/>
          <w:szCs w:val="24"/>
          <w:u w:val="single"/>
        </w:rPr>
        <w:t xml:space="preserve">SOGGETTI BENEFICIARI </w:t>
      </w:r>
    </w:p>
    <w:p>
      <w:pPr>
        <w:pStyle w:val="Default"/>
        <w:spacing w:lineRule="auto" w:line="276"/>
        <w:jc w:val="both"/>
        <w:rPr>
          <w:rFonts w:ascii="Garamond" w:hAnsi="Garamond" w:eastAsia="Calibri" w:cs="Times New Roman"/>
          <w:color w:val="auto"/>
        </w:rPr>
      </w:pPr>
      <w:r>
        <w:rPr>
          <w:rFonts w:eastAsia="Calibri" w:cs="Times New Roman" w:ascii="Garamond" w:hAnsi="Garamond"/>
          <w:color w:val="auto"/>
        </w:rPr>
        <w:t xml:space="preserve">Possono </w:t>
      </w:r>
      <w:r>
        <w:rPr>
          <w:rFonts w:eastAsia="Calibri" w:cs="Times New Roman" w:ascii="Garamond" w:hAnsi="Garamond"/>
          <w:b/>
          <w:color w:val="auto"/>
        </w:rPr>
        <w:t>presentare domanda</w:t>
      </w:r>
      <w:r>
        <w:rPr>
          <w:rFonts w:eastAsia="Calibri" w:cs="Times New Roman" w:ascii="Garamond" w:hAnsi="Garamond"/>
          <w:color w:val="auto"/>
        </w:rPr>
        <w:t xml:space="preserve"> di contributo gli studenti che rientrano nella fattispecie del bando - o altri soggetti delegati con potere di firma. Ogni soggetto beneficiario può presentare domanda </w:t>
      </w:r>
      <w:r>
        <w:rPr>
          <w:rFonts w:eastAsia="Calibri" w:cs="Times New Roman" w:ascii="Garamond" w:hAnsi="Garamond"/>
          <w:b/>
          <w:color w:val="auto"/>
        </w:rPr>
        <w:t>presso l’istituto di frequenza</w:t>
      </w:r>
      <w:r>
        <w:rPr>
          <w:rFonts w:eastAsia="Calibri" w:cs="Times New Roman" w:ascii="Garamond" w:hAnsi="Garamond"/>
          <w:color w:val="auto"/>
        </w:rPr>
        <w:t xml:space="preserve"> che provvederà ad inviarle al Comune di Cava de’ Tirreni capofila dell’Ambito S2. Per ciascun studente è possibile richiedere, anche separatamente: </w:t>
      </w:r>
    </w:p>
    <w:p>
      <w:pPr>
        <w:pStyle w:val="Default"/>
        <w:spacing w:lineRule="auto" w:line="276"/>
        <w:rPr>
          <w:rFonts w:ascii="Garamond" w:hAnsi="Garamond" w:eastAsia="Calibri" w:cs="Times New Roman"/>
          <w:color w:val="auto"/>
        </w:rPr>
      </w:pPr>
      <w:r>
        <w:rPr>
          <w:rFonts w:eastAsia="Calibri" w:cs="Times New Roman" w:ascii="Garamond" w:hAnsi="Garamond"/>
          <w:color w:val="auto"/>
        </w:rPr>
        <w:t xml:space="preserve">• </w:t>
      </w:r>
      <w:r>
        <w:rPr>
          <w:rFonts w:eastAsia="Calibri" w:cs="Times New Roman" w:ascii="Garamond" w:hAnsi="Garamond"/>
          <w:color w:val="auto"/>
        </w:rPr>
        <w:t xml:space="preserve">il contributo per l’assistenza specialistica per singolo studente, indicando il numero delle ore di assistenza per settimana; </w:t>
      </w:r>
    </w:p>
    <w:p>
      <w:pPr>
        <w:pStyle w:val="Default"/>
        <w:rPr>
          <w:rFonts w:ascii="Garamond" w:hAnsi="Garamond" w:eastAsia="Calibri" w:cs="Times New Roman"/>
          <w:color w:val="auto"/>
        </w:rPr>
      </w:pPr>
      <w:r>
        <w:rPr>
          <w:rFonts w:eastAsia="Calibri" w:cs="Times New Roman" w:ascii="Garamond" w:hAnsi="Garamond"/>
          <w:color w:val="auto"/>
        </w:rPr>
        <w:t xml:space="preserve">• </w:t>
      </w:r>
      <w:r>
        <w:rPr>
          <w:rFonts w:eastAsia="Calibri" w:cs="Times New Roman" w:ascii="Garamond" w:hAnsi="Garamond"/>
          <w:color w:val="auto"/>
        </w:rPr>
        <w:t xml:space="preserve">il contributo per il servizio trasporto e accompagnamento </w:t>
      </w:r>
      <w:r>
        <w:rPr>
          <w:rFonts w:ascii="Garamond" w:hAnsi="Garamond"/>
        </w:rPr>
        <w:t>per il tragitto casa/scuola e viceversa</w:t>
      </w:r>
      <w:r>
        <w:rPr>
          <w:rFonts w:eastAsia="Calibri" w:cs="Times New Roman" w:ascii="Garamond" w:hAnsi="Garamond"/>
          <w:color w:val="auto"/>
        </w:rPr>
        <w:t xml:space="preserve">; </w:t>
      </w:r>
    </w:p>
    <w:p>
      <w:pPr>
        <w:pStyle w:val="Normal"/>
        <w:spacing w:before="0" w:after="0"/>
        <w:jc w:val="both"/>
        <w:rPr>
          <w:rFonts w:ascii="Garamond" w:hAnsi="Garamond"/>
          <w:sz w:val="24"/>
          <w:szCs w:val="24"/>
        </w:rPr>
      </w:pPr>
      <w:r>
        <w:rPr>
          <w:rFonts w:ascii="Garamond" w:hAnsi="Garamond"/>
          <w:sz w:val="24"/>
          <w:szCs w:val="24"/>
        </w:rPr>
      </w:r>
    </w:p>
    <w:p>
      <w:pPr>
        <w:pStyle w:val="Normal"/>
        <w:jc w:val="both"/>
        <w:rPr>
          <w:rFonts w:ascii="Garamond" w:hAnsi="Garamond"/>
          <w:b/>
          <w:b/>
          <w:sz w:val="24"/>
          <w:szCs w:val="24"/>
          <w:u w:val="single"/>
        </w:rPr>
      </w:pPr>
      <w:r>
        <w:rPr>
          <w:rFonts w:ascii="Garamond" w:hAnsi="Garamond"/>
          <w:b/>
          <w:smallCaps/>
          <w:sz w:val="24"/>
          <w:szCs w:val="24"/>
          <w:u w:val="single"/>
        </w:rPr>
        <w:t>requisiti di accesso</w:t>
      </w:r>
      <w:r>
        <w:rPr>
          <w:rFonts w:ascii="Garamond" w:hAnsi="Garamond"/>
          <w:sz w:val="24"/>
          <w:szCs w:val="24"/>
          <w:u w:val="single"/>
        </w:rPr>
        <w:t xml:space="preserve"> </w:t>
      </w:r>
    </w:p>
    <w:p>
      <w:pPr>
        <w:pStyle w:val="Normal"/>
        <w:spacing w:before="0" w:after="0"/>
        <w:jc w:val="both"/>
        <w:rPr>
          <w:rFonts w:ascii="Garamond" w:hAnsi="Garamond"/>
          <w:sz w:val="24"/>
          <w:szCs w:val="24"/>
        </w:rPr>
      </w:pPr>
      <w:r>
        <w:rPr>
          <w:rFonts w:ascii="Garamond" w:hAnsi="Garamond"/>
          <w:sz w:val="24"/>
          <w:szCs w:val="24"/>
        </w:rPr>
        <w:t>Gli studenti che presentano le domande devono essere in possesso della seguente certificazione medica: -   sanitaria, valida ed attuale, rilasciata dai competenti organi sanitari:</w:t>
      </w:r>
    </w:p>
    <w:p>
      <w:pPr>
        <w:pStyle w:val="Normal"/>
        <w:spacing w:before="0" w:after="0"/>
        <w:jc w:val="both"/>
        <w:rPr>
          <w:rFonts w:ascii="Garamond" w:hAnsi="Garamond"/>
          <w:sz w:val="24"/>
          <w:szCs w:val="24"/>
        </w:rPr>
      </w:pPr>
      <w:r>
        <w:rPr>
          <w:rFonts w:ascii="Garamond" w:hAnsi="Garamond"/>
          <w:sz w:val="24"/>
          <w:szCs w:val="24"/>
        </w:rPr>
        <w:t>-   certificato attestante la gravità dell’handicap ai sensi dell’articolo 3 comma 3 della legge 104/1992;</w:t>
      </w:r>
    </w:p>
    <w:p>
      <w:pPr>
        <w:pStyle w:val="Normal"/>
        <w:spacing w:before="0" w:after="0"/>
        <w:jc w:val="both"/>
        <w:rPr>
          <w:rFonts w:ascii="Garamond" w:hAnsi="Garamond"/>
          <w:sz w:val="24"/>
          <w:szCs w:val="24"/>
        </w:rPr>
      </w:pPr>
      <w:r>
        <w:rPr>
          <w:rFonts w:ascii="Garamond" w:hAnsi="Garamond"/>
          <w:sz w:val="24"/>
          <w:szCs w:val="24"/>
        </w:rPr>
        <w:t>- certificazione attestante un’invalidità riconosciuta totale e permanente del 100% e/o il riconoscimento della indennità di accompagnamento.</w:t>
      </w:r>
    </w:p>
    <w:p>
      <w:pPr>
        <w:pStyle w:val="Normal"/>
        <w:spacing w:before="0" w:after="0"/>
        <w:jc w:val="both"/>
        <w:rPr>
          <w:rFonts w:ascii="Garamond" w:hAnsi="Garamond"/>
          <w:b/>
          <w:b/>
          <w:sz w:val="24"/>
          <w:szCs w:val="24"/>
        </w:rPr>
      </w:pPr>
      <w:r>
        <w:rPr>
          <w:rFonts w:ascii="Garamond" w:hAnsi="Garamond"/>
          <w:b/>
          <w:sz w:val="24"/>
          <w:szCs w:val="24"/>
        </w:rPr>
        <w:t>La concessione del contributo sarà subordinato alla frequenza scolastica rilasciata dall’istituto scolastico di appartenenza.</w:t>
      </w:r>
    </w:p>
    <w:p>
      <w:pPr>
        <w:pStyle w:val="Normal"/>
        <w:jc w:val="both"/>
        <w:rPr/>
      </w:pPr>
      <w:r>
        <w:rPr>
          <w:rFonts w:ascii="Garamond" w:hAnsi="Garamond"/>
          <w:sz w:val="24"/>
          <w:szCs w:val="24"/>
        </w:rPr>
        <w:t xml:space="preserve">Il servizio di trasporto scolastico e l’assistenza specialistica per disabilità sensoriali anche all’interno della scuola ha l’obiettivo di favorire regolare frequenza scolastica e il diritto allo studio. Il contributo finalizzato all’autonomia della persona viene riconosciuto agli studenti con disabilità non autosufficienti, che non sono in grado di servirsi dei mezzi pubblici per raggiungere strutture scolastiche/formative e presentano una significativa compromissione dell’autonomia. In particolare i destinatari sono: </w:t>
      </w:r>
      <w:r>
        <w:rPr>
          <w:rFonts w:ascii="Garamond" w:hAnsi="Garamond"/>
          <w:b/>
          <w:bCs/>
          <w:sz w:val="24"/>
          <w:szCs w:val="24"/>
        </w:rPr>
        <w:t>studenti,  anche non residenti nei comuni dell’Ambito S2, affetti da disabilità fisica, psichica e/o sensoriale, in possesso di idonea documentazione,  frequentanti la</w:t>
      </w:r>
      <w:r>
        <w:rPr>
          <w:rFonts w:ascii="Garamond" w:hAnsi="Garamond"/>
          <w:b/>
          <w:sz w:val="24"/>
          <w:szCs w:val="24"/>
        </w:rPr>
        <w:t xml:space="preserve"> scuola secondaria di II grado</w:t>
      </w:r>
      <w:r>
        <w:rPr>
          <w:rFonts w:ascii="Garamond" w:hAnsi="Garamond"/>
          <w:sz w:val="24"/>
          <w:szCs w:val="24"/>
        </w:rPr>
        <w:t xml:space="preserve">, </w:t>
      </w:r>
      <w:r>
        <w:rPr>
          <w:rFonts w:ascii="Garamond" w:hAnsi="Garamond"/>
          <w:b/>
          <w:bCs/>
          <w:sz w:val="24"/>
          <w:szCs w:val="24"/>
        </w:rPr>
        <w:t xml:space="preserve">o corsi di formazione professionale in diritto dovere di istruzione e formazione, </w:t>
      </w:r>
      <w:r>
        <w:rPr>
          <w:rFonts w:ascii="Garamond" w:hAnsi="Garamond"/>
          <w:sz w:val="24"/>
          <w:szCs w:val="24"/>
        </w:rPr>
        <w:t xml:space="preserve"> </w:t>
      </w:r>
      <w:r>
        <w:rPr>
          <w:rFonts w:ascii="Garamond" w:hAnsi="Garamond"/>
          <w:b/>
          <w:bCs/>
          <w:sz w:val="24"/>
          <w:szCs w:val="24"/>
        </w:rPr>
        <w:t>ubicate nel territorio dell’A</w:t>
      </w:r>
      <w:r>
        <w:rPr>
          <w:rFonts w:ascii="Garamond" w:hAnsi="Garamond"/>
          <w:b/>
          <w:sz w:val="24"/>
          <w:szCs w:val="24"/>
        </w:rPr>
        <w:t>mbito S2.</w:t>
      </w:r>
      <w:r>
        <w:rPr>
          <w:rFonts w:ascii="Garamond" w:hAnsi="Garamond"/>
          <w:sz w:val="24"/>
          <w:szCs w:val="24"/>
        </w:rPr>
        <w:t xml:space="preserve"> </w:t>
      </w:r>
    </w:p>
    <w:p>
      <w:pPr>
        <w:pStyle w:val="Normal"/>
        <w:jc w:val="both"/>
        <w:rPr>
          <w:rFonts w:ascii="Garamond" w:hAnsi="Garamond"/>
          <w:b/>
          <w:b/>
          <w:smallCaps/>
          <w:sz w:val="24"/>
          <w:szCs w:val="24"/>
          <w:u w:val="single"/>
        </w:rPr>
      </w:pPr>
      <w:r>
        <w:rPr>
          <w:rFonts w:ascii="Garamond" w:hAnsi="Garamond"/>
          <w:b/>
          <w:smallCaps/>
          <w:sz w:val="24"/>
          <w:szCs w:val="24"/>
          <w:u w:val="single"/>
        </w:rPr>
        <w:t>valutazione delle istanze</w:t>
      </w:r>
    </w:p>
    <w:p>
      <w:pPr>
        <w:pStyle w:val="Normal"/>
        <w:jc w:val="both"/>
        <w:rPr/>
      </w:pPr>
      <w:r>
        <w:rPr>
          <w:rFonts w:ascii="Garamond" w:hAnsi="Garamond"/>
          <w:sz w:val="24"/>
          <w:szCs w:val="24"/>
        </w:rPr>
        <w:t xml:space="preserve">In seguito all’acquisizione delle domande di accesso al contributo, si procederà alla valutazione della conformità o meno delle domande pervenute. </w:t>
      </w:r>
      <w:r>
        <w:rPr>
          <w:rFonts w:eastAsia="Calibri" w:cs="Times New Roman" w:ascii="Garamond" w:hAnsi="Garamond" w:eastAsiaTheme="minorHAnsi"/>
          <w:b w:val="false"/>
          <w:bCs w:val="false"/>
          <w:color w:val="auto"/>
          <w:kern w:val="0"/>
          <w:sz w:val="24"/>
          <w:szCs w:val="24"/>
          <w:lang w:val="it-IT" w:eastAsia="en-US" w:bidi="ar-SA"/>
        </w:rPr>
        <w:t>L’ammissione</w:t>
      </w:r>
      <w:r>
        <w:rPr>
          <w:rFonts w:eastAsia="Calibri" w:cs="Times New Roman" w:ascii="Garamond" w:hAnsi="Garamond" w:eastAsiaTheme="minorHAnsi"/>
          <w:b w:val="false"/>
          <w:bCs w:val="false"/>
          <w:color w:val="auto"/>
          <w:spacing w:val="-10"/>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dello</w:t>
      </w:r>
      <w:r>
        <w:rPr>
          <w:rFonts w:eastAsia="Calibri" w:cs="Times New Roman" w:ascii="Garamond" w:hAnsi="Garamond" w:eastAsiaTheme="minorHAnsi"/>
          <w:b w:val="false"/>
          <w:bCs w:val="false"/>
          <w:color w:val="auto"/>
          <w:spacing w:val="-10"/>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 xml:space="preserve">studente </w:t>
      </w:r>
      <w:r>
        <w:rPr>
          <w:rFonts w:eastAsia="Calibri" w:cs="Times New Roman" w:ascii="Garamond" w:hAnsi="Garamond" w:eastAsiaTheme="minorHAnsi"/>
          <w:b w:val="false"/>
          <w:bCs w:val="false"/>
          <w:color w:val="auto"/>
          <w:spacing w:val="-9"/>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al</w:t>
      </w:r>
      <w:r>
        <w:rPr>
          <w:rFonts w:eastAsia="Calibri" w:cs="Times New Roman" w:ascii="Garamond" w:hAnsi="Garamond" w:eastAsiaTheme="minorHAnsi"/>
          <w:b w:val="false"/>
          <w:bCs w:val="false"/>
          <w:color w:val="auto"/>
          <w:spacing w:val="44"/>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servizio</w:t>
      </w:r>
      <w:r>
        <w:rPr>
          <w:rFonts w:eastAsia="Calibri" w:cs="Times New Roman" w:ascii="Garamond" w:hAnsi="Garamond" w:eastAsiaTheme="minorHAnsi"/>
          <w:b w:val="false"/>
          <w:bCs w:val="false"/>
          <w:color w:val="auto"/>
          <w:spacing w:val="-9"/>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di</w:t>
      </w:r>
      <w:r>
        <w:rPr>
          <w:rFonts w:eastAsia="Calibri" w:cs="Times New Roman" w:ascii="Garamond" w:hAnsi="Garamond" w:eastAsiaTheme="minorHAnsi"/>
          <w:b w:val="false"/>
          <w:bCs w:val="false"/>
          <w:color w:val="auto"/>
          <w:spacing w:val="-9"/>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Assistenza</w:t>
      </w:r>
      <w:r>
        <w:rPr>
          <w:rFonts w:eastAsia="Calibri" w:cs="Times New Roman" w:ascii="Garamond" w:hAnsi="Garamond" w:eastAsiaTheme="minorHAnsi"/>
          <w:b w:val="false"/>
          <w:bCs w:val="false"/>
          <w:color w:val="auto"/>
          <w:spacing w:val="-11"/>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Scolastica</w:t>
      </w:r>
      <w:r>
        <w:rPr>
          <w:rFonts w:eastAsia="Calibri" w:cs="Times New Roman" w:ascii="Garamond" w:hAnsi="Garamond" w:eastAsiaTheme="minorHAnsi"/>
          <w:b w:val="false"/>
          <w:bCs w:val="false"/>
          <w:color w:val="auto"/>
          <w:spacing w:val="-10"/>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Specialistica</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(assistenza</w:t>
      </w:r>
      <w:r>
        <w:rPr>
          <w:rFonts w:eastAsia="Calibri" w:cs="Times New Roman" w:ascii="Garamond" w:hAnsi="Garamond" w:eastAsiaTheme="minorHAnsi"/>
          <w:b w:val="false"/>
          <w:bCs w:val="false"/>
          <w:color w:val="auto"/>
          <w:spacing w:val="-57"/>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per</w:t>
      </w:r>
      <w:r>
        <w:rPr>
          <w:rFonts w:eastAsia="Calibri" w:cs="Times New Roman" w:ascii="Garamond" w:hAnsi="Garamond" w:eastAsiaTheme="minorHAnsi"/>
          <w:b w:val="false"/>
          <w:bCs w:val="false"/>
          <w:color w:val="auto"/>
          <w:spacing w:val="-9"/>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l'autonomia</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e</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la</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comunicazione),</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spacing w:val="-7"/>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ai</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sensi</w:t>
      </w:r>
      <w:r>
        <w:rPr>
          <w:rFonts w:eastAsia="Calibri" w:cs="Times New Roman" w:ascii="Garamond" w:hAnsi="Garamond" w:eastAsiaTheme="minorHAnsi"/>
          <w:b w:val="false"/>
          <w:bCs w:val="false"/>
          <w:color w:val="auto"/>
          <w:spacing w:val="-7"/>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della</w:t>
      </w:r>
      <w:r>
        <w:rPr>
          <w:rFonts w:eastAsia="Calibri" w:cs="Times New Roman" w:ascii="Garamond" w:hAnsi="Garamond" w:eastAsiaTheme="minorHAnsi"/>
          <w:b w:val="false"/>
          <w:bCs w:val="false"/>
          <w:color w:val="auto"/>
          <w:spacing w:val="-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Legge</w:t>
      </w:r>
      <w:r>
        <w:rPr>
          <w:rFonts w:eastAsia="Calibri" w:cs="Times New Roman" w:ascii="Garamond" w:hAnsi="Garamond" w:eastAsiaTheme="minorHAnsi"/>
          <w:b w:val="false"/>
          <w:bCs w:val="false"/>
          <w:color w:val="auto"/>
          <w:spacing w:val="-58"/>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104/1992, artt. 3, 4, 13, comma 3 e dell'art. 2 del D.P.C.M. 23/02/06, n. 185, come evidenziato nella</w:t>
      </w:r>
      <w:r>
        <w:rPr>
          <w:rFonts w:eastAsia="Calibri" w:cs="Times New Roman" w:ascii="Garamond" w:hAnsi="Garamond" w:eastAsiaTheme="minorHAnsi"/>
          <w:b w:val="false"/>
          <w:bCs w:val="false"/>
          <w:color w:val="auto"/>
          <w:spacing w:val="-57"/>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certificazione e/o</w:t>
      </w:r>
      <w:r>
        <w:rPr>
          <w:rFonts w:eastAsia="Calibri" w:cs="Times New Roman" w:ascii="Garamond" w:hAnsi="Garamond" w:eastAsiaTheme="minorHAnsi"/>
          <w:b w:val="false"/>
          <w:bCs w:val="false"/>
          <w:color w:val="auto"/>
          <w:spacing w:val="1"/>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nella relativa diagnosi funzionale e</w:t>
      </w:r>
      <w:r>
        <w:rPr>
          <w:rFonts w:eastAsia="Calibri" w:cs="Times New Roman" w:ascii="Garamond" w:hAnsi="Garamond" w:eastAsiaTheme="minorHAnsi"/>
          <w:b w:val="false"/>
          <w:bCs w:val="false"/>
          <w:color w:val="auto"/>
          <w:spacing w:val="1"/>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per il numero di ore settimanali previsto dal</w:t>
      </w:r>
      <w:r>
        <w:rPr>
          <w:rFonts w:eastAsia="Calibri" w:cs="Times New Roman" w:ascii="Garamond" w:hAnsi="Garamond" w:eastAsiaTheme="minorHAnsi"/>
          <w:b w:val="false"/>
          <w:bCs w:val="false"/>
          <w:color w:val="auto"/>
          <w:spacing w:val="1"/>
          <w:kern w:val="0"/>
          <w:sz w:val="24"/>
          <w:szCs w:val="24"/>
          <w:lang w:val="it-IT" w:eastAsia="en-US" w:bidi="ar-SA"/>
        </w:rPr>
        <w:t xml:space="preserve"> </w:t>
      </w:r>
      <w:r>
        <w:rPr>
          <w:rFonts w:eastAsia="Calibri" w:cs="Times New Roman" w:ascii="Garamond" w:hAnsi="Garamond" w:eastAsiaTheme="minorHAnsi"/>
          <w:b w:val="false"/>
          <w:bCs w:val="false"/>
          <w:color w:val="auto"/>
          <w:kern w:val="0"/>
          <w:sz w:val="24"/>
          <w:szCs w:val="24"/>
          <w:lang w:val="it-IT" w:eastAsia="en-US" w:bidi="ar-SA"/>
        </w:rPr>
        <w:t>Piano Educativo Individualizzato, si svolgerà tramite l'individuazione, da parte della famiglia,  di un soggetto del terzo s</w:t>
      </w:r>
      <w:r>
        <w:rPr>
          <w:rFonts w:eastAsia="Calibri" w:cs="Times New Roman" w:ascii="Garamond" w:hAnsi="Garamond" w:eastAsiaTheme="minorHAnsi"/>
          <w:b w:val="false"/>
          <w:bCs w:val="false"/>
          <w:color w:val="auto"/>
          <w:spacing w:val="-10"/>
          <w:kern w:val="0"/>
          <w:sz w:val="24"/>
          <w:szCs w:val="24"/>
          <w:lang w:val="it-IT" w:eastAsia="en-US" w:bidi="ar-SA"/>
        </w:rPr>
        <w:t xml:space="preserve">ettore iscritto nell’”Elenco di Fornitori Accreditati del Servizio di Assistenza Specialistica a favore degli studenti con disabilità delle scuole secondarie di secondo grado”;  ai sensi del Regolamento Regionale n. 4/2014, attuativo della L. R. n. 11/2007, approvato con determinazione dirigenziale n. 2080 del 13/11/2024. Il contributo per l’assistenza specialistica verrà riconosciuto e liquidato, sulla base della presentazione di documenti di spesa per il servizio prestato in ore di lavoro, all’ente scelto liberamente dalla famiglia. </w:t>
      </w:r>
      <w:r>
        <w:rPr>
          <w:rFonts w:ascii="Garamond" w:hAnsi="Garamond"/>
          <w:sz w:val="24"/>
          <w:szCs w:val="24"/>
        </w:rPr>
        <w:t xml:space="preserve">Il contributo per il trasporto scolastico invece sarà calcolato in maniera forfettaria su base chilometrica e certificazione rilasciata dall’istituto in merito ai giorni di presenza. Il calcolo economico di spesa chilometrica sarà rilevato dalle tabelle ACI dell’anno di riferimento e sarà liquidato direttamente alle famiglie.  </w:t>
      </w:r>
    </w:p>
    <w:p>
      <w:pPr>
        <w:pStyle w:val="Normal"/>
        <w:jc w:val="both"/>
        <w:rPr/>
      </w:pPr>
      <w:r>
        <w:rPr>
          <w:rFonts w:ascii="Garamond" w:hAnsi="Garamond"/>
          <w:b/>
          <w:smallCaps/>
          <w:sz w:val="24"/>
          <w:szCs w:val="24"/>
          <w:u w:val="single"/>
        </w:rPr>
        <w:t>TERMINE E MODALITÀ DI PRESENTAZIONE DELLA DOMANDA</w:t>
      </w:r>
    </w:p>
    <w:p>
      <w:pPr>
        <w:pStyle w:val="Normal"/>
        <w:spacing w:lineRule="auto" w:line="240" w:before="0" w:after="0"/>
        <w:jc w:val="both"/>
        <w:rPr/>
      </w:pPr>
      <w:r>
        <w:rPr>
          <w:rFonts w:ascii="Garamond" w:hAnsi="Garamond"/>
          <w:sz w:val="24"/>
          <w:szCs w:val="24"/>
        </w:rPr>
        <w:t xml:space="preserve">L’istanza dovrà essere accompagnata dalla documentazione richiesta, come indicato nei requisiti di accesso e presentata presso gli istituti scolastici frequentati dagli studenti. </w:t>
      </w:r>
      <w:r>
        <w:rPr>
          <w:rFonts w:ascii="Garamond" w:hAnsi="Garamond"/>
          <w:b/>
          <w:sz w:val="24"/>
          <w:szCs w:val="24"/>
        </w:rPr>
        <w:t>Le istanze saranno trasmesse dagli istituti scolastici</w:t>
      </w:r>
      <w:r>
        <w:rPr>
          <w:rFonts w:ascii="Garamond" w:hAnsi="Garamond"/>
          <w:sz w:val="24"/>
          <w:szCs w:val="24"/>
        </w:rPr>
        <w:t xml:space="preserve"> </w:t>
      </w:r>
      <w:r>
        <w:rPr>
          <w:rFonts w:ascii="Garamond" w:hAnsi="Garamond"/>
          <w:b/>
          <w:sz w:val="24"/>
          <w:szCs w:val="24"/>
        </w:rPr>
        <w:t>all’Ufficio di Piano dopo la data di scadenza del  3</w:t>
      </w:r>
      <w:r>
        <w:rPr>
          <w:rFonts w:ascii="Garamond" w:hAnsi="Garamond"/>
          <w:b/>
          <w:sz w:val="24"/>
          <w:szCs w:val="24"/>
        </w:rPr>
        <w:t>1</w:t>
      </w:r>
      <w:r>
        <w:rPr>
          <w:rFonts w:ascii="Garamond" w:hAnsi="Garamond"/>
          <w:b/>
          <w:sz w:val="24"/>
          <w:szCs w:val="24"/>
        </w:rPr>
        <w:t xml:space="preserve"> luglio 2025</w:t>
      </w:r>
      <w:r>
        <w:rPr>
          <w:rFonts w:ascii="Garamond" w:hAnsi="Garamond"/>
          <w:sz w:val="24"/>
          <w:szCs w:val="24"/>
        </w:rPr>
        <w:t>, la dicitura da riportare sulla busta è: “</w:t>
      </w:r>
      <w:r>
        <w:rPr>
          <w:rFonts w:ascii="Garamond" w:hAnsi="Garamond"/>
        </w:rPr>
        <w:t>ASSEGNAZIONE DI CONTRIBUTI PER IL TRASPORTO E L’ASSISTENZA SPECIALISTICA A FAVORE D</w:t>
      </w:r>
      <w:bookmarkStart w:id="0" w:name="_GoBack"/>
      <w:bookmarkEnd w:id="0"/>
      <w:r>
        <w:rPr>
          <w:rFonts w:ascii="Garamond" w:hAnsi="Garamond"/>
        </w:rPr>
        <w:t>EGLI  STUDENTI CON DISABILITÀ CHE FREQUENTANO ISTITUTI SCOLASTICI SECONDARI DI SECONDO GRADO ANNO SCOLASTICO 2025/2026”</w:t>
      </w:r>
      <w:r>
        <w:rPr>
          <w:rFonts w:ascii="Garamond" w:hAnsi="Garamond"/>
          <w:sz w:val="24"/>
          <w:szCs w:val="24"/>
        </w:rPr>
        <w:t xml:space="preserve"> potranno essere spedite tramite raccomandata o consegnate a mano presso l’ufficio del protocollo  del Comune capofila dell’Ambito S2 – Cava de’ Tirreni, dopo il termine indicato. </w:t>
      </w:r>
    </w:p>
    <w:p>
      <w:pPr>
        <w:pStyle w:val="Normal"/>
        <w:jc w:val="both"/>
        <w:rPr/>
      </w:pPr>
      <w:r>
        <w:rPr>
          <w:rFonts w:ascii="Garamond" w:hAnsi="Garamond"/>
          <w:b/>
          <w:sz w:val="24"/>
          <w:szCs w:val="24"/>
        </w:rPr>
        <w:t>Le domande</w:t>
      </w:r>
      <w:r>
        <w:rPr>
          <w:rFonts w:ascii="Garamond" w:hAnsi="Garamond"/>
          <w:sz w:val="24"/>
          <w:szCs w:val="24"/>
        </w:rPr>
        <w:t xml:space="preserve"> </w:t>
      </w:r>
      <w:r>
        <w:rPr>
          <w:rFonts w:ascii="Garamond" w:hAnsi="Garamond"/>
          <w:b/>
          <w:sz w:val="24"/>
          <w:szCs w:val="24"/>
        </w:rPr>
        <w:t>vanno presentate,</w:t>
      </w:r>
      <w:r>
        <w:rPr>
          <w:rFonts w:ascii="Garamond" w:hAnsi="Garamond"/>
          <w:sz w:val="24"/>
          <w:szCs w:val="24"/>
        </w:rPr>
        <w:t xml:space="preserve"> </w:t>
      </w:r>
      <w:r>
        <w:rPr>
          <w:rFonts w:ascii="Garamond" w:hAnsi="Garamond"/>
          <w:b/>
          <w:sz w:val="24"/>
          <w:szCs w:val="24"/>
        </w:rPr>
        <w:t>presso gli istituti o enti di formazione professionale</w:t>
      </w:r>
      <w:r>
        <w:rPr>
          <w:rFonts w:ascii="Garamond" w:hAnsi="Garamond"/>
          <w:sz w:val="24"/>
          <w:szCs w:val="24"/>
        </w:rPr>
        <w:t xml:space="preserve">, entro e non oltre i termini seguenti: </w:t>
      </w:r>
      <w:r>
        <w:rPr>
          <w:rFonts w:ascii="Garamond" w:hAnsi="Garamond"/>
          <w:b/>
          <w:sz w:val="24"/>
          <w:szCs w:val="24"/>
        </w:rPr>
        <w:t>dalla data di pubblicazione del presente avviso  al 3</w:t>
      </w:r>
      <w:r>
        <w:rPr>
          <w:rFonts w:ascii="Garamond" w:hAnsi="Garamond"/>
          <w:b/>
          <w:sz w:val="24"/>
          <w:szCs w:val="24"/>
        </w:rPr>
        <w:t>1</w:t>
      </w:r>
      <w:r>
        <w:rPr>
          <w:rFonts w:ascii="Garamond" w:hAnsi="Garamond"/>
          <w:b/>
          <w:sz w:val="24"/>
          <w:szCs w:val="24"/>
        </w:rPr>
        <w:t xml:space="preserve"> luglio 2025.</w:t>
      </w:r>
    </w:p>
    <w:p>
      <w:pPr>
        <w:pStyle w:val="Normal"/>
        <w:jc w:val="both"/>
        <w:rPr/>
      </w:pPr>
      <w:r>
        <w:rPr>
          <w:rFonts w:ascii="Garamond" w:hAnsi="Garamond"/>
          <w:sz w:val="24"/>
          <w:szCs w:val="24"/>
        </w:rPr>
        <w:t>I contributi di cui al presente avviso saranno erogati dall'Ambito S2, sulla base delle risorse liquidate  dalla Regione Campania con D.G.R. 695 del 11/04/2025.</w:t>
      </w:r>
    </w:p>
    <w:p>
      <w:pPr>
        <w:pStyle w:val="Normal"/>
        <w:jc w:val="both"/>
        <w:rPr/>
      </w:pPr>
      <w:r>
        <w:rPr>
          <w:rFonts w:ascii="Garamond" w:hAnsi="Garamond"/>
          <w:sz w:val="24"/>
          <w:szCs w:val="24"/>
        </w:rPr>
        <w:t>Per ogni ulteriore informazione o chiarimento rivolgersi presso gli sportelli dell’Ambito S2 ubicati presso:</w:t>
      </w:r>
    </w:p>
    <w:p>
      <w:pPr>
        <w:pStyle w:val="ListParagraph"/>
        <w:numPr>
          <w:ilvl w:val="0"/>
          <w:numId w:val="1"/>
        </w:numPr>
        <w:spacing w:before="0" w:after="0"/>
        <w:contextualSpacing/>
        <w:jc w:val="both"/>
        <w:rPr/>
      </w:pPr>
      <w:r>
        <w:rPr>
          <w:rFonts w:ascii="Garamond" w:hAnsi="Garamond"/>
          <w:b/>
          <w:sz w:val="24"/>
          <w:szCs w:val="24"/>
        </w:rPr>
        <w:t>Ufficio di Piano</w:t>
      </w:r>
      <w:r>
        <w:rPr>
          <w:rFonts w:ascii="Garamond" w:hAnsi="Garamond"/>
          <w:sz w:val="24"/>
          <w:szCs w:val="24"/>
        </w:rPr>
        <w:t>, P.zza Abbro, snc-Cava de’ Tirreni 089 682 470/168.</w:t>
      </w:r>
    </w:p>
    <w:p>
      <w:pPr>
        <w:pStyle w:val="Normal"/>
        <w:rPr>
          <w:rFonts w:ascii="Garamond" w:hAnsi="Garamond"/>
          <w:sz w:val="24"/>
          <w:szCs w:val="24"/>
        </w:rPr>
      </w:pPr>
      <w:r>
        <w:rPr>
          <w:rFonts w:ascii="Garamond" w:hAnsi="Garamond"/>
          <w:sz w:val="24"/>
          <w:szCs w:val="24"/>
        </w:rPr>
      </w:r>
    </w:p>
    <w:p>
      <w:pPr>
        <w:pStyle w:val="Normal"/>
        <w:rPr/>
      </w:pPr>
      <w:r>
        <w:rPr>
          <w:rFonts w:ascii="Garamond" w:hAnsi="Garamond"/>
          <w:sz w:val="24"/>
          <w:szCs w:val="24"/>
        </w:rPr>
        <w:tab/>
        <w:tab/>
        <w:tab/>
        <w:tab/>
        <w:tab/>
        <w:tab/>
        <w:tab/>
        <w:tab/>
        <w:t xml:space="preserve">                  Il </w:t>
      </w:r>
      <w:r>
        <w:rPr>
          <w:rFonts w:ascii="Garamond" w:hAnsi="Garamond"/>
          <w:sz w:val="24"/>
          <w:szCs w:val="24"/>
        </w:rPr>
        <w:t>Dirigente III Settore</w:t>
      </w:r>
      <w:r>
        <w:rPr>
          <w:rFonts w:ascii="Garamond" w:hAnsi="Garamond"/>
          <w:sz w:val="24"/>
          <w:szCs w:val="24"/>
        </w:rPr>
        <w:t xml:space="preserve"> </w:t>
      </w:r>
    </w:p>
    <w:p>
      <w:pPr>
        <w:pStyle w:val="Normal"/>
        <w:rPr/>
      </w:pPr>
      <w:r>
        <w:rPr>
          <w:rFonts w:ascii="Garamond" w:hAnsi="Garamond"/>
          <w:sz w:val="24"/>
          <w:szCs w:val="24"/>
        </w:rPr>
        <w:tab/>
        <w:tab/>
        <w:tab/>
        <w:tab/>
        <w:tab/>
        <w:tab/>
        <w:tab/>
        <w:tab/>
        <w:tab/>
        <w:t xml:space="preserve">            dott. </w:t>
      </w:r>
      <w:r>
        <w:rPr>
          <w:rFonts w:ascii="Garamond" w:hAnsi="Garamond"/>
          <w:sz w:val="24"/>
          <w:szCs w:val="24"/>
        </w:rPr>
        <w:t>Saverio Valio</w:t>
      </w:r>
    </w:p>
    <w:p>
      <w:pPr>
        <w:pStyle w:val="Normal"/>
        <w:ind w:left="6372" w:hanging="0"/>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spacing w:lineRule="auto" w:line="240" w:before="0" w:after="0"/>
        <w:rPr/>
      </w:pPr>
      <w:r>
        <w:rPr/>
      </w:r>
    </w:p>
    <w:sectPr>
      <w:headerReference w:type="default" r:id="rId2"/>
      <w:type w:val="nextPage"/>
      <w:pgSz w:w="11906" w:h="16838"/>
      <w:pgMar w:left="1134" w:right="1134" w:header="708" w:top="11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Garamond">
    <w:charset w:val="00"/>
    <w:family w:val="roman"/>
    <w:pitch w:val="variable"/>
  </w:font>
  <w:font w:name="Liberation Sans">
    <w:altName w:val="Arial"/>
    <w:charset w:val="00"/>
    <w:family w:val="roman"/>
    <w:pitch w:val="variable"/>
  </w:font>
  <w:font w:name="Arial">
    <w:charset w:val="00"/>
    <w:family w:val="roman"/>
    <w:pitch w:val="variable"/>
  </w:font>
  <w:font w:name="Garamond">
    <w:charset w:val="01"/>
    <w:family w:val="auto"/>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s>
      <w:rPr>
        <w:b/>
        <w:b/>
        <w:color w:val="C00000"/>
        <w:sz w:val="20"/>
        <w:szCs w:val="20"/>
        <w:lang w:eastAsia="it-IT"/>
      </w:rPr>
    </w:pPr>
    <w:r>
      <w:rPr/>
      <w:drawing>
        <wp:inline distT="0" distB="0" distL="0" distR="0">
          <wp:extent cx="2171700" cy="666750"/>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2171700" cy="666750"/>
                  </a:xfrm>
                  <a:prstGeom prst="rect">
                    <a:avLst/>
                  </a:prstGeom>
                </pic:spPr>
              </pic:pic>
            </a:graphicData>
          </a:graphic>
        </wp:inline>
      </w:drawing>
      <w:drawing>
        <wp:anchor behindDoc="1" distT="0" distB="9525" distL="114300" distR="114300" simplePos="0" locked="0" layoutInCell="1" allowOverlap="1" relativeHeight="5">
          <wp:simplePos x="0" y="0"/>
          <wp:positionH relativeFrom="column">
            <wp:posOffset>4405630</wp:posOffset>
          </wp:positionH>
          <wp:positionV relativeFrom="paragraph">
            <wp:posOffset>-71755</wp:posOffset>
          </wp:positionV>
          <wp:extent cx="590550" cy="695325"/>
          <wp:effectExtent l="0" t="0" r="0" b="0"/>
          <wp:wrapTopAndBottom/>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590550" cy="695325"/>
                  </a:xfrm>
                  <a:prstGeom prst="rect">
                    <a:avLst/>
                  </a:prstGeom>
                </pic:spPr>
              </pic:pic>
            </a:graphicData>
          </a:graphic>
        </wp:anchor>
      </w:drawing>
    </w:r>
  </w:p>
  <w:p>
    <w:pPr>
      <w:pStyle w:val="Intestazione"/>
      <w:tabs>
        <w:tab w:val="clear" w:pos="9638"/>
        <w:tab w:val="center" w:pos="4819" w:leader="none"/>
      </w:tabs>
      <w:rPr>
        <w:b/>
        <w:b/>
        <w:sz w:val="20"/>
        <w:szCs w:val="20"/>
        <w:lang w:eastAsia="it-IT"/>
      </w:rPr>
    </w:pPr>
    <w:r>
      <w:rPr>
        <w:b/>
        <w:color w:val="C00000"/>
        <w:sz w:val="20"/>
        <w:szCs w:val="20"/>
        <w:lang w:eastAsia="it-IT"/>
      </w:rPr>
      <w:tab/>
      <w:tab/>
      <w:tab/>
      <w:tab/>
      <w:t xml:space="preserve">                                    </w:t>
    </w:r>
    <w:r>
      <w:rPr>
        <w:b/>
        <w:sz w:val="20"/>
        <w:szCs w:val="20"/>
        <w:lang w:eastAsia="it-IT"/>
      </w:rPr>
      <w:t xml:space="preserve">CAVA DE’ TIRRENI                      </w:t>
    </w:r>
  </w:p>
  <w:p>
    <w:pPr>
      <w:pStyle w:val="Intestazione"/>
      <w:tabs>
        <w:tab w:val="clear" w:pos="9638"/>
        <w:tab w:val="center" w:pos="4819" w:leader="none"/>
      </w:tabs>
      <w:rPr>
        <w:b/>
        <w:b/>
        <w:color w:val="C00000"/>
        <w:sz w:val="20"/>
        <w:szCs w:val="20"/>
      </w:rPr>
    </w:pPr>
    <w:r>
      <w:rPr>
        <w:b/>
        <w:sz w:val="20"/>
        <w:szCs w:val="20"/>
        <w:lang w:eastAsia="it-IT"/>
      </w:rPr>
      <w:t xml:space="preserve">                                                                                                                                                                                </w:t>
    </w:r>
    <w:r>
      <w:rPr>
        <w:b/>
        <w:sz w:val="20"/>
        <w:szCs w:val="20"/>
        <w:lang w:eastAsia="it-IT"/>
      </w:rPr>
      <w:t>COMUNE CAPOFILA</w:t>
    </w:r>
  </w:p>
  <w:p>
    <w:pPr>
      <w:pStyle w:val="Intestazione"/>
      <w:tabs>
        <w:tab w:val="clear" w:pos="4819"/>
        <w:tab w:val="clear" w:pos="9638"/>
        <w:tab w:val="left" w:pos="8088"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720" w:hanging="360"/>
      </w:pPr>
      <w:rPr>
        <w:rFonts w:ascii="Garamond" w:hAnsi="Garamond" w:cs="Garamond"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76f5"/>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0f1664"/>
    <w:rPr/>
  </w:style>
  <w:style w:type="character" w:styleId="PidipaginaCarattere" w:customStyle="1">
    <w:name w:val="Piè di pagina Carattere"/>
    <w:basedOn w:val="DefaultParagraphFont"/>
    <w:link w:val="Pidipagina"/>
    <w:uiPriority w:val="99"/>
    <w:qFormat/>
    <w:rsid w:val="000f1664"/>
    <w:rPr/>
  </w:style>
  <w:style w:type="character" w:styleId="TestofumettoCarattere" w:customStyle="1">
    <w:name w:val="Testo fumetto Carattere"/>
    <w:basedOn w:val="DefaultParagraphFont"/>
    <w:link w:val="Testofumetto"/>
    <w:uiPriority w:val="99"/>
    <w:semiHidden/>
    <w:qFormat/>
    <w:rsid w:val="000f1664"/>
    <w:rPr>
      <w:rFonts w:ascii="Tahoma" w:hAnsi="Tahoma" w:cs="Tahoma"/>
      <w:sz w:val="16"/>
      <w:szCs w:val="16"/>
    </w:rPr>
  </w:style>
  <w:style w:type="character" w:styleId="ListLabel1">
    <w:name w:val="ListLabel 1"/>
    <w:qFormat/>
    <w:rPr>
      <w:rFonts w:ascii="Garamond" w:hAnsi="Garamond" w:eastAsia="Calibri"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Times New Roman"/>
      <w:b/>
      <w:sz w:val="24"/>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Times New Roman"/>
      <w:b/>
      <w:sz w:val="24"/>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Times New Roman"/>
      <w:b/>
      <w:sz w:val="24"/>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Times New Roman"/>
      <w:b/>
      <w:sz w:val="24"/>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Times New Roman"/>
      <w:b/>
      <w:sz w:val="24"/>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Times New Roman"/>
      <w:b/>
      <w:sz w:val="24"/>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Times New Roman"/>
      <w:b/>
      <w:sz w:val="24"/>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Times New Roman"/>
      <w:b/>
      <w:sz w:val="24"/>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Times New Roman"/>
      <w:b/>
      <w:sz w:val="24"/>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Times New Roman"/>
      <w:b/>
      <w:sz w:val="24"/>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Times New Roman"/>
      <w:b/>
      <w:sz w:val="24"/>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Times New Roman"/>
      <w:b/>
      <w:sz w:val="24"/>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Times New Roman"/>
      <w:b/>
      <w:sz w:val="24"/>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0f1664"/>
    <w:pPr>
      <w:tabs>
        <w:tab w:val="clear" w:pos="720"/>
        <w:tab w:val="center" w:pos="4819" w:leader="none"/>
        <w:tab w:val="right" w:pos="9638" w:leader="none"/>
      </w:tabs>
      <w:spacing w:lineRule="auto" w:line="240" w:before="0" w:after="0"/>
    </w:pPr>
    <w:rPr>
      <w:rFonts w:ascii="Calibri" w:hAnsi="Calibri" w:eastAsia="Calibri" w:cs="" w:asciiTheme="minorHAnsi" w:cstheme="minorBidi" w:eastAsiaTheme="minorHAnsi" w:hAnsiTheme="minorHAnsi"/>
    </w:rPr>
  </w:style>
  <w:style w:type="paragraph" w:styleId="Pidipagina">
    <w:name w:val="Footer"/>
    <w:basedOn w:val="Normal"/>
    <w:link w:val="PidipaginaCarattere"/>
    <w:uiPriority w:val="99"/>
    <w:unhideWhenUsed/>
    <w:rsid w:val="000f1664"/>
    <w:pPr>
      <w:tabs>
        <w:tab w:val="clear" w:pos="720"/>
        <w:tab w:val="center" w:pos="4819" w:leader="none"/>
        <w:tab w:val="right" w:pos="9638"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TestofumettoCarattere"/>
    <w:uiPriority w:val="99"/>
    <w:semiHidden/>
    <w:unhideWhenUsed/>
    <w:qFormat/>
    <w:rsid w:val="000f1664"/>
    <w:pPr>
      <w:spacing w:lineRule="auto" w:line="240" w:before="0" w:after="0"/>
    </w:pPr>
    <w:rPr>
      <w:rFonts w:ascii="Tahoma" w:hAnsi="Tahoma" w:eastAsia="Calibri" w:cs="Tahoma" w:eastAsiaTheme="minorHAnsi"/>
      <w:sz w:val="16"/>
      <w:szCs w:val="16"/>
    </w:rPr>
  </w:style>
  <w:style w:type="paragraph" w:styleId="ListParagraph">
    <w:name w:val="List Paragraph"/>
    <w:basedOn w:val="Normal"/>
    <w:uiPriority w:val="34"/>
    <w:qFormat/>
    <w:rsid w:val="00436de7"/>
    <w:pPr>
      <w:spacing w:before="0" w:after="200"/>
      <w:ind w:left="720" w:hanging="0"/>
      <w:contextualSpacing/>
    </w:pPr>
    <w:rPr/>
  </w:style>
  <w:style w:type="paragraph" w:styleId="Default" w:customStyle="1">
    <w:name w:val="Default"/>
    <w:qFormat/>
    <w:rsid w:val="00a04180"/>
    <w:pPr>
      <w:widowControl/>
      <w:bidi w:val="0"/>
      <w:spacing w:lineRule="auto" w:line="240" w:before="0" w:after="0"/>
      <w:jc w:val="left"/>
    </w:pPr>
    <w:rPr>
      <w:rFonts w:ascii="Arial" w:hAnsi="Arial" w:eastAsia="Calibri" w:cs="Arial"/>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Application>LibreOffice/6.2.4.2$Windows_X86_64 LibreOffice_project/2412653d852ce75f65fbfa83fb7e7b669a126d64</Application>
  <Pages>4</Pages>
  <Words>1315</Words>
  <Characters>8010</Characters>
  <CharactersWithSpaces>9606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2022-08-29T10:00:00Z</dcterms:created>
  <dc:creator>MONTORO ROSA 3</dc:creator>
  <dc:description/>
  <dc:language>it-IT</dc:language>
  <cp:lastModifiedBy/>
  <cp:lastPrinted>2025-07-03T11:57:23Z</cp:lastPrinted>
  <dcterms:modified xsi:type="dcterms:W3CDTF">2025-07-03T11:59:55Z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